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7D416F" w14:textId="40D5A61A" w:rsidR="00B863BA" w:rsidRDefault="001C421C" w:rsidP="005339FF">
      <w:pPr>
        <w:jc w:val="both"/>
        <w:rPr>
          <w:b/>
          <w:bCs/>
        </w:rPr>
      </w:pPr>
      <w:bookmarkStart w:id="0" w:name="_GoBack"/>
      <w:bookmarkEnd w:id="0"/>
      <w:r w:rsidRPr="00100E9E">
        <w:rPr>
          <w:b/>
          <w:bCs/>
        </w:rPr>
        <w:t xml:space="preserve">GAP ANALYSIS – </w:t>
      </w:r>
      <w:r w:rsidR="0009344D">
        <w:rPr>
          <w:b/>
          <w:bCs/>
        </w:rPr>
        <w:t>MSUNDUZI MUNICIPALITY</w:t>
      </w:r>
      <w:r w:rsidRPr="00100E9E">
        <w:rPr>
          <w:b/>
          <w:bCs/>
        </w:rPr>
        <w:t xml:space="preserve"> POLICY REVIEW</w:t>
      </w:r>
      <w:r w:rsidR="00550403">
        <w:rPr>
          <w:b/>
          <w:bCs/>
        </w:rPr>
        <w:t xml:space="preserve"> AS AT </w:t>
      </w:r>
      <w:r w:rsidR="00140435">
        <w:rPr>
          <w:b/>
          <w:bCs/>
        </w:rPr>
        <w:t>25 FEBRUARY 2017</w:t>
      </w:r>
    </w:p>
    <w:p w14:paraId="783F3812" w14:textId="77777777" w:rsidR="00100E9E" w:rsidRPr="00100E9E" w:rsidRDefault="00100E9E" w:rsidP="005339FF">
      <w:pPr>
        <w:jc w:val="both"/>
        <w:rPr>
          <w:b/>
          <w:bCs/>
        </w:rPr>
      </w:pPr>
    </w:p>
    <w:p w14:paraId="2B922831" w14:textId="3009945E" w:rsidR="001C421C" w:rsidRPr="00100E9E" w:rsidRDefault="00CD2F9F" w:rsidP="005339FF">
      <w:pPr>
        <w:jc w:val="both"/>
        <w:rPr>
          <w:u w:val="single"/>
        </w:rPr>
      </w:pPr>
      <w:r>
        <w:rPr>
          <w:u w:val="single"/>
        </w:rPr>
        <w:t>D</w:t>
      </w:r>
      <w:r w:rsidR="00985ED0">
        <w:rPr>
          <w:u w:val="single"/>
        </w:rPr>
        <w:t>efinitions and Abbreviations</w:t>
      </w:r>
    </w:p>
    <w:p w14:paraId="2AC639A6" w14:textId="4A215E96" w:rsidR="00100E9E" w:rsidRDefault="00631658" w:rsidP="005339FF">
      <w:pPr>
        <w:jc w:val="both"/>
      </w:pPr>
      <w:r>
        <w:t xml:space="preserve">To be </w:t>
      </w:r>
      <w:r w:rsidR="00985ED0">
        <w:t>amended</w:t>
      </w:r>
      <w:r w:rsidR="0076700C">
        <w:t>/ updated</w:t>
      </w:r>
      <w:r>
        <w:t>:</w:t>
      </w:r>
    </w:p>
    <w:p w14:paraId="60F15B92" w14:textId="5AF50770" w:rsidR="00631658" w:rsidRDefault="002C037B" w:rsidP="005339FF">
      <w:pPr>
        <w:pStyle w:val="ListParagraph"/>
        <w:numPr>
          <w:ilvl w:val="0"/>
          <w:numId w:val="1"/>
        </w:numPr>
        <w:jc w:val="both"/>
      </w:pPr>
      <w:r>
        <w:t xml:space="preserve">Definition of carrying amount </w:t>
      </w:r>
      <w:r w:rsidR="005207D5">
        <w:t>–</w:t>
      </w:r>
      <w:r>
        <w:t xml:space="preserve"> </w:t>
      </w:r>
      <w:r w:rsidR="005207D5">
        <w:t>correction of “</w:t>
      </w:r>
      <w:r w:rsidR="005207D5" w:rsidRPr="006B53D3">
        <w:rPr>
          <w:i/>
          <w:iCs/>
        </w:rPr>
        <w:t>Statement of Financial Position</w:t>
      </w:r>
      <w:r w:rsidR="005207D5">
        <w:t xml:space="preserve">” and </w:t>
      </w:r>
      <w:r w:rsidR="00320B9A">
        <w:t>include “</w:t>
      </w:r>
      <w:r w:rsidR="00320B9A" w:rsidRPr="006B53D3">
        <w:rPr>
          <w:i/>
          <w:iCs/>
        </w:rPr>
        <w:t>accumulated</w:t>
      </w:r>
      <w:r w:rsidR="00320B9A">
        <w:t>” in</w:t>
      </w:r>
      <w:r w:rsidR="008F5FD0">
        <w:t xml:space="preserve"> </w:t>
      </w:r>
      <w:r w:rsidR="00320B9A">
        <w:t>front of impairment</w:t>
      </w:r>
      <w:r w:rsidR="008F5FD0">
        <w:t xml:space="preserve"> losses</w:t>
      </w:r>
      <w:r w:rsidR="009C298D">
        <w:t xml:space="preserve"> (page 6)</w:t>
      </w:r>
      <w:r w:rsidR="008F5FD0">
        <w:t>.</w:t>
      </w:r>
    </w:p>
    <w:p w14:paraId="4F92D399" w14:textId="1252C90D" w:rsidR="004B748B" w:rsidRDefault="004B748B" w:rsidP="005339FF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t>Definition of impairment</w:t>
      </w:r>
      <w:r w:rsidR="0092101A">
        <w:t xml:space="preserve"> </w:t>
      </w:r>
      <w:r w:rsidR="00B442B8">
        <w:t>–</w:t>
      </w:r>
      <w:r w:rsidR="0092101A">
        <w:t xml:space="preserve"> </w:t>
      </w:r>
      <w:r w:rsidR="00B442B8" w:rsidRPr="00263E67">
        <w:rPr>
          <w:i/>
          <w:iCs/>
        </w:rPr>
        <w:t>“An impairment</w:t>
      </w:r>
      <w:r w:rsidR="00E83557" w:rsidRPr="00263E67">
        <w:rPr>
          <w:i/>
          <w:iCs/>
        </w:rPr>
        <w:t xml:space="preserve"> is a loss in the future economic benefits or service potential of an asset, over and </w:t>
      </w:r>
      <w:r w:rsidR="0062278F" w:rsidRPr="00263E67">
        <w:rPr>
          <w:i/>
          <w:iCs/>
        </w:rPr>
        <w:t xml:space="preserve">above the systematic recognition of the loss of the asset’s future economic </w:t>
      </w:r>
      <w:r w:rsidR="00263E67" w:rsidRPr="00263E67">
        <w:rPr>
          <w:i/>
          <w:iCs/>
        </w:rPr>
        <w:t>benefits or service potential through depreciation</w:t>
      </w:r>
      <w:r w:rsidR="009C298D">
        <w:rPr>
          <w:i/>
          <w:iCs/>
        </w:rPr>
        <w:t>” (page 6).</w:t>
      </w:r>
    </w:p>
    <w:p w14:paraId="21EF5D5A" w14:textId="789C96A6" w:rsidR="008B6816" w:rsidRPr="007F43F1" w:rsidRDefault="006B04D2" w:rsidP="005339FF">
      <w:pPr>
        <w:pStyle w:val="ListParagraph"/>
        <w:numPr>
          <w:ilvl w:val="0"/>
          <w:numId w:val="1"/>
        </w:numPr>
        <w:jc w:val="both"/>
        <w:rPr>
          <w:i/>
          <w:iCs/>
        </w:rPr>
      </w:pPr>
      <w:r>
        <w:t>Definition of recognition – “</w:t>
      </w:r>
      <w:r w:rsidR="00A76C7D" w:rsidRPr="004E1584">
        <w:rPr>
          <w:i/>
          <w:iCs/>
        </w:rPr>
        <w:t>The cost of an item of property, plant and equipment</w:t>
      </w:r>
      <w:r w:rsidR="00E97868" w:rsidRPr="004E1584">
        <w:rPr>
          <w:i/>
          <w:iCs/>
        </w:rPr>
        <w:t xml:space="preserve"> shall be recognised as an asset if, and only if: </w:t>
      </w:r>
      <w:r w:rsidR="00A928E4" w:rsidRPr="004E1584">
        <w:rPr>
          <w:i/>
          <w:iCs/>
        </w:rPr>
        <w:t>it is probable that future economic benefits or service potential associated with the item will flow to the entity</w:t>
      </w:r>
      <w:r w:rsidR="000E1D42" w:rsidRPr="004E1584">
        <w:rPr>
          <w:i/>
          <w:iCs/>
        </w:rPr>
        <w:t>; and the cost or fair value of the item can be measured rel</w:t>
      </w:r>
      <w:r w:rsidR="004E1584" w:rsidRPr="004E1584">
        <w:rPr>
          <w:i/>
          <w:iCs/>
        </w:rPr>
        <w:t>iably.</w:t>
      </w:r>
      <w:r w:rsidR="004E1584">
        <w:t xml:space="preserve">” </w:t>
      </w:r>
      <w:r w:rsidR="00560105">
        <w:t>Attractive item should be removed</w:t>
      </w:r>
      <w:r w:rsidR="009C298D">
        <w:t xml:space="preserve"> (page 6)</w:t>
      </w:r>
      <w:r w:rsidR="00560105">
        <w:t>.</w:t>
      </w:r>
    </w:p>
    <w:p w14:paraId="33FE1FE9" w14:textId="77777777" w:rsidR="007F43F1" w:rsidRPr="00263E67" w:rsidRDefault="007F43F1" w:rsidP="005339FF">
      <w:pPr>
        <w:pStyle w:val="ListParagraph"/>
        <w:jc w:val="both"/>
        <w:rPr>
          <w:i/>
          <w:iCs/>
        </w:rPr>
      </w:pPr>
    </w:p>
    <w:p w14:paraId="45933DDE" w14:textId="249B1DFD" w:rsidR="0094467A" w:rsidRDefault="0094467A" w:rsidP="005339FF">
      <w:pPr>
        <w:jc w:val="both"/>
      </w:pPr>
      <w:r>
        <w:t>Considerations:</w:t>
      </w:r>
    </w:p>
    <w:p w14:paraId="42DF1108" w14:textId="20FEA2C8" w:rsidR="00A530F6" w:rsidRDefault="00437D20" w:rsidP="005339FF">
      <w:pPr>
        <w:pStyle w:val="ListParagraph"/>
        <w:numPr>
          <w:ilvl w:val="0"/>
          <w:numId w:val="1"/>
        </w:numPr>
        <w:jc w:val="both"/>
      </w:pPr>
      <w:r>
        <w:t>Provide more clarity on an</w:t>
      </w:r>
      <w:r w:rsidR="00326D96">
        <w:t xml:space="preserve"> “</w:t>
      </w:r>
      <w:r>
        <w:t>I</w:t>
      </w:r>
      <w:r w:rsidR="00326D96">
        <w:t xml:space="preserve">nsignificant </w:t>
      </w:r>
      <w:r>
        <w:t>Items Register” “IIR”</w:t>
      </w:r>
      <w:r w:rsidR="009C298D">
        <w:t xml:space="preserve"> (page 6)</w:t>
      </w:r>
      <w:r w:rsidR="004B748B">
        <w:t>.</w:t>
      </w:r>
    </w:p>
    <w:p w14:paraId="63B7A440" w14:textId="7A46A12B" w:rsidR="00595D99" w:rsidRDefault="00595D99" w:rsidP="00595D99">
      <w:pPr>
        <w:jc w:val="both"/>
      </w:pPr>
    </w:p>
    <w:p w14:paraId="02A1FABE" w14:textId="6D70C8B2" w:rsidR="00595D99" w:rsidRPr="00C1188B" w:rsidRDefault="00595D99" w:rsidP="00595D99">
      <w:pPr>
        <w:jc w:val="both"/>
        <w:rPr>
          <w:u w:val="single"/>
        </w:rPr>
      </w:pPr>
      <w:r w:rsidRPr="00C1188B">
        <w:rPr>
          <w:u w:val="single"/>
        </w:rPr>
        <w:t>Section 1</w:t>
      </w:r>
    </w:p>
    <w:p w14:paraId="3C11B242" w14:textId="5BEFCEFC" w:rsidR="00595D99" w:rsidRDefault="00595D99" w:rsidP="00595D99">
      <w:pPr>
        <w:jc w:val="both"/>
      </w:pPr>
      <w:r>
        <w:t xml:space="preserve">The objective </w:t>
      </w:r>
      <w:r w:rsidR="00D65BEB">
        <w:t>is that we not only comply or align to accounting standards but also SAN55001 which considers the full landscape of asset manage</w:t>
      </w:r>
      <w:r w:rsidR="00C1188B">
        <w:t>ment</w:t>
      </w:r>
      <w:r w:rsidR="00D65BEB">
        <w:t>, includ</w:t>
      </w:r>
      <w:r w:rsidR="00C1188B">
        <w:t>ing</w:t>
      </w:r>
      <w:r w:rsidR="00D65BEB">
        <w:t xml:space="preserve"> </w:t>
      </w:r>
      <w:r w:rsidR="000B472F">
        <w:t xml:space="preserve">leadership, </w:t>
      </w:r>
      <w:r w:rsidR="00D65BEB">
        <w:t>people &amp; organ</w:t>
      </w:r>
      <w:r w:rsidR="000B472F">
        <w:t>izational structure which are key enablers</w:t>
      </w:r>
      <w:r w:rsidR="00B87B13">
        <w:t>.</w:t>
      </w:r>
    </w:p>
    <w:p w14:paraId="52D7905F" w14:textId="31F17C94" w:rsidR="0053273B" w:rsidRPr="0053273B" w:rsidRDefault="0053273B" w:rsidP="0053273B">
      <w:pPr>
        <w:jc w:val="both"/>
        <w:rPr>
          <w:u w:val="single"/>
        </w:rPr>
      </w:pPr>
      <w:r w:rsidRPr="0053273B">
        <w:rPr>
          <w:u w:val="single"/>
        </w:rPr>
        <w:t xml:space="preserve">Section </w:t>
      </w:r>
      <w:r>
        <w:rPr>
          <w:u w:val="single"/>
        </w:rPr>
        <w:t>2</w:t>
      </w:r>
      <w:r w:rsidRPr="0053273B">
        <w:rPr>
          <w:u w:val="single"/>
        </w:rPr>
        <w:t xml:space="preserve"> – Role of the C</w:t>
      </w:r>
      <w:r>
        <w:rPr>
          <w:u w:val="single"/>
        </w:rPr>
        <w:t>ity Manager</w:t>
      </w:r>
    </w:p>
    <w:p w14:paraId="32CA64B4" w14:textId="16D59859" w:rsidR="0053273B" w:rsidRDefault="0053273B" w:rsidP="0053273B">
      <w:pPr>
        <w:jc w:val="both"/>
      </w:pPr>
      <w:r>
        <w:t>Consider Policy Statements – ISO 55001 requires leadership demonstrates commitment to asset management system</w:t>
      </w:r>
    </w:p>
    <w:p w14:paraId="27B1F68F" w14:textId="77777777" w:rsidR="00EF31F3" w:rsidRDefault="00EF31F3" w:rsidP="0053273B">
      <w:pPr>
        <w:jc w:val="both"/>
      </w:pPr>
    </w:p>
    <w:p w14:paraId="6D6EC60E" w14:textId="4105BE4E" w:rsidR="007F43F1" w:rsidRPr="00EF31F3" w:rsidRDefault="007F43F1" w:rsidP="005339FF">
      <w:pPr>
        <w:jc w:val="both"/>
        <w:rPr>
          <w:u w:val="single"/>
        </w:rPr>
      </w:pPr>
      <w:r w:rsidRPr="00EF31F3">
        <w:rPr>
          <w:u w:val="single"/>
        </w:rPr>
        <w:t xml:space="preserve">Section 3 – Role of the </w:t>
      </w:r>
      <w:r w:rsidR="00EF31F3" w:rsidRPr="00EF31F3">
        <w:rPr>
          <w:u w:val="single"/>
        </w:rPr>
        <w:t>CFO</w:t>
      </w:r>
    </w:p>
    <w:p w14:paraId="146297E5" w14:textId="5D41B626" w:rsidR="00EF31F3" w:rsidRDefault="0076700C" w:rsidP="005339FF">
      <w:pPr>
        <w:jc w:val="both"/>
      </w:pPr>
      <w:r>
        <w:t>To be amended/ updated:</w:t>
      </w:r>
    </w:p>
    <w:p w14:paraId="2A58A02A" w14:textId="77777777" w:rsidR="00CB5E15" w:rsidRDefault="00CB5E15" w:rsidP="005339FF">
      <w:pPr>
        <w:pStyle w:val="ListParagraph"/>
        <w:numPr>
          <w:ilvl w:val="0"/>
          <w:numId w:val="1"/>
        </w:numPr>
        <w:jc w:val="both"/>
      </w:pPr>
      <w:r>
        <w:t>Under section 3.1 number 3 add the word “</w:t>
      </w:r>
      <w:r w:rsidRPr="001D528C">
        <w:rPr>
          <w:i/>
          <w:iCs/>
        </w:rPr>
        <w:t>movable</w:t>
      </w:r>
      <w:r>
        <w:t>” since it will be very time-consuming and expensive verifying immovable assets on an annual basis (page 9).</w:t>
      </w:r>
    </w:p>
    <w:p w14:paraId="6EC4D854" w14:textId="460585D6" w:rsidR="00100E9E" w:rsidRDefault="00100E9E" w:rsidP="005339FF">
      <w:pPr>
        <w:pStyle w:val="ListParagraph"/>
        <w:jc w:val="both"/>
      </w:pPr>
    </w:p>
    <w:p w14:paraId="5CEC47BE" w14:textId="4497C52E" w:rsidR="00A250BD" w:rsidRDefault="00A250BD" w:rsidP="005339FF">
      <w:pPr>
        <w:jc w:val="both"/>
      </w:pPr>
      <w:r>
        <w:t>Considerations:</w:t>
      </w:r>
    </w:p>
    <w:p w14:paraId="54C2C1D1" w14:textId="36EB55EE" w:rsidR="0044615E" w:rsidRDefault="0044615E" w:rsidP="005339FF">
      <w:pPr>
        <w:pStyle w:val="ListParagraph"/>
        <w:numPr>
          <w:ilvl w:val="0"/>
          <w:numId w:val="1"/>
        </w:numPr>
        <w:jc w:val="both"/>
      </w:pPr>
      <w:r>
        <w:t xml:space="preserve">Does the municipality own a computerised </w:t>
      </w:r>
      <w:r w:rsidR="00565C27">
        <w:t>asset management system as stated in the first paragraph (page 9)?</w:t>
      </w:r>
      <w:r w:rsidR="00FE19AC">
        <w:t xml:space="preserve"> Does it comply with the MSCOA reporting framework?</w:t>
      </w:r>
      <w:r w:rsidR="00CE21F3">
        <w:t xml:space="preserve"> If this is not the case, consider not stating </w:t>
      </w:r>
      <w:r w:rsidR="00B24BA5">
        <w:t>this in policy.</w:t>
      </w:r>
    </w:p>
    <w:p w14:paraId="7D4C6585" w14:textId="16EE6630" w:rsidR="00FA249C" w:rsidRDefault="002D32C0" w:rsidP="005339FF">
      <w:pPr>
        <w:pStyle w:val="ListParagraph"/>
        <w:numPr>
          <w:ilvl w:val="0"/>
          <w:numId w:val="1"/>
        </w:numPr>
        <w:jc w:val="both"/>
      </w:pPr>
      <w:r>
        <w:t>Is annual asset verification a 100% verification? Is it economically feasible to do 100% verification?</w:t>
      </w:r>
    </w:p>
    <w:p w14:paraId="52D2F5E9" w14:textId="0CD0DCD4" w:rsidR="00661DC4" w:rsidRDefault="00661DC4" w:rsidP="005339FF">
      <w:pPr>
        <w:pStyle w:val="ListParagraph"/>
        <w:numPr>
          <w:ilvl w:val="0"/>
          <w:numId w:val="1"/>
        </w:numPr>
        <w:jc w:val="both"/>
      </w:pPr>
      <w:r>
        <w:lastRenderedPageBreak/>
        <w:t>Do the documents mention in 3.3. already exist</w:t>
      </w:r>
      <w:r w:rsidR="00085587">
        <w:t>?</w:t>
      </w:r>
      <w:r w:rsidR="00D4086F">
        <w:t xml:space="preserve"> Consider incorporating how th</w:t>
      </w:r>
      <w:r w:rsidR="008112FD">
        <w:t xml:space="preserve">ese </w:t>
      </w:r>
      <w:r w:rsidR="00D4086F">
        <w:t>documents will be integrated to the existing asset management framework of the municipality</w:t>
      </w:r>
      <w:r w:rsidR="008112FD">
        <w:t xml:space="preserve"> or used as mechanism to embed </w:t>
      </w:r>
      <w:r w:rsidR="00DB03C6">
        <w:t xml:space="preserve">SANS 55001 </w:t>
      </w:r>
      <w:r w:rsidR="008112FD">
        <w:t>asset management</w:t>
      </w:r>
    </w:p>
    <w:p w14:paraId="505E8EE9" w14:textId="3F663C42" w:rsidR="00AC674A" w:rsidRDefault="00AC674A" w:rsidP="005339FF">
      <w:pPr>
        <w:jc w:val="both"/>
      </w:pPr>
    </w:p>
    <w:p w14:paraId="50229069" w14:textId="7416C03C" w:rsidR="004E3AAC" w:rsidRPr="00E95E44" w:rsidRDefault="004E3AAC" w:rsidP="005339FF">
      <w:pPr>
        <w:jc w:val="both"/>
        <w:rPr>
          <w:u w:val="single"/>
        </w:rPr>
      </w:pPr>
      <w:r w:rsidRPr="00E95E44">
        <w:rPr>
          <w:u w:val="single"/>
        </w:rPr>
        <w:t xml:space="preserve">Section </w:t>
      </w:r>
      <w:r w:rsidR="00EC2485">
        <w:rPr>
          <w:u w:val="single"/>
        </w:rPr>
        <w:t>4</w:t>
      </w:r>
      <w:r w:rsidRPr="00E95E44">
        <w:rPr>
          <w:u w:val="single"/>
        </w:rPr>
        <w:t xml:space="preserve"> – </w:t>
      </w:r>
      <w:r w:rsidR="00EC2485">
        <w:rPr>
          <w:u w:val="single"/>
        </w:rPr>
        <w:t>Role of</w:t>
      </w:r>
      <w:r w:rsidR="005A7006">
        <w:rPr>
          <w:u w:val="single"/>
        </w:rPr>
        <w:t xml:space="preserve"> O</w:t>
      </w:r>
      <w:r w:rsidR="00EC2485">
        <w:rPr>
          <w:u w:val="single"/>
        </w:rPr>
        <w:t xml:space="preserve">ther </w:t>
      </w:r>
      <w:r w:rsidR="005A7006">
        <w:rPr>
          <w:u w:val="single"/>
        </w:rPr>
        <w:t>S</w:t>
      </w:r>
      <w:r w:rsidR="00EC2485">
        <w:rPr>
          <w:u w:val="single"/>
        </w:rPr>
        <w:t xml:space="preserve">trategic </w:t>
      </w:r>
      <w:r w:rsidR="005A7006">
        <w:rPr>
          <w:u w:val="single"/>
        </w:rPr>
        <w:t>B</w:t>
      </w:r>
      <w:r w:rsidR="00EC2485">
        <w:rPr>
          <w:u w:val="single"/>
        </w:rPr>
        <w:t xml:space="preserve">usiness </w:t>
      </w:r>
      <w:r w:rsidR="005A7006">
        <w:rPr>
          <w:u w:val="single"/>
        </w:rPr>
        <w:t>U</w:t>
      </w:r>
      <w:r w:rsidR="00EC2485">
        <w:rPr>
          <w:u w:val="single"/>
        </w:rPr>
        <w:t>nits</w:t>
      </w:r>
    </w:p>
    <w:p w14:paraId="558DB8F9" w14:textId="38FE0691" w:rsidR="00E95E44" w:rsidRDefault="00E95E44" w:rsidP="005339FF">
      <w:pPr>
        <w:jc w:val="both"/>
      </w:pPr>
      <w:r>
        <w:t>Considerations:</w:t>
      </w:r>
    </w:p>
    <w:p w14:paraId="044EC7EA" w14:textId="47D2CF4F" w:rsidR="00E95E44" w:rsidRDefault="0078206E" w:rsidP="005339FF">
      <w:pPr>
        <w:pStyle w:val="ListParagraph"/>
        <w:numPr>
          <w:ilvl w:val="0"/>
          <w:numId w:val="1"/>
        </w:numPr>
        <w:jc w:val="both"/>
      </w:pPr>
      <w:r>
        <w:t>If the municipality have staff and social housing</w:t>
      </w:r>
      <w:r w:rsidR="003056FD">
        <w:t xml:space="preserve"> it should also be an asset class under immovable assets (</w:t>
      </w:r>
      <w:r w:rsidR="00D8696D">
        <w:t>page 13).</w:t>
      </w:r>
    </w:p>
    <w:p w14:paraId="2A97AF75" w14:textId="77777777" w:rsidR="008F6283" w:rsidRDefault="008F6283" w:rsidP="005339FF">
      <w:pPr>
        <w:jc w:val="both"/>
      </w:pPr>
    </w:p>
    <w:p w14:paraId="1BD1789F" w14:textId="7EA211F4" w:rsidR="004E3AAC" w:rsidRPr="008F6283" w:rsidRDefault="009D351D" w:rsidP="005339FF">
      <w:pPr>
        <w:jc w:val="both"/>
        <w:rPr>
          <w:u w:val="single"/>
        </w:rPr>
      </w:pPr>
      <w:r w:rsidRPr="008F6283">
        <w:rPr>
          <w:u w:val="single"/>
        </w:rPr>
        <w:t xml:space="preserve">Section 5 </w:t>
      </w:r>
      <w:r w:rsidR="008F6283" w:rsidRPr="008F6283">
        <w:rPr>
          <w:u w:val="single"/>
        </w:rPr>
        <w:t>–</w:t>
      </w:r>
      <w:r w:rsidRPr="008F6283">
        <w:rPr>
          <w:u w:val="single"/>
        </w:rPr>
        <w:t xml:space="preserve"> </w:t>
      </w:r>
      <w:r w:rsidR="008F6283" w:rsidRPr="008F6283">
        <w:rPr>
          <w:u w:val="single"/>
        </w:rPr>
        <w:t>Definition and Role of an Asset</w:t>
      </w:r>
    </w:p>
    <w:p w14:paraId="7EB19B5C" w14:textId="4586F3C7" w:rsidR="008F6283" w:rsidRDefault="008F6283" w:rsidP="005339FF">
      <w:pPr>
        <w:jc w:val="both"/>
      </w:pPr>
      <w:r>
        <w:t>To be amended/ updated:</w:t>
      </w:r>
    </w:p>
    <w:p w14:paraId="6542FD78" w14:textId="6C19E341" w:rsidR="008F6283" w:rsidRDefault="00BF1415" w:rsidP="005339FF">
      <w:pPr>
        <w:pStyle w:val="ListParagraph"/>
        <w:numPr>
          <w:ilvl w:val="0"/>
          <w:numId w:val="1"/>
        </w:numPr>
        <w:jc w:val="both"/>
      </w:pPr>
      <w:r>
        <w:t xml:space="preserve">GRAP does not recognise </w:t>
      </w:r>
      <w:r w:rsidR="00876009">
        <w:t>any capitalisation threshold. This should rather be removed</w:t>
      </w:r>
      <w:r w:rsidR="004C40D5">
        <w:t>. Ter</w:t>
      </w:r>
      <w:r w:rsidR="009F1BFA">
        <w:t>ms and threshold</w:t>
      </w:r>
      <w:r w:rsidR="004C40D5">
        <w:t xml:space="preserve"> are not</w:t>
      </w:r>
      <w:r w:rsidR="009F1BFA">
        <w:t xml:space="preserve"> clearly specified in the policy</w:t>
      </w:r>
      <w:r w:rsidR="004C40D5">
        <w:t xml:space="preserve"> (page 14).</w:t>
      </w:r>
    </w:p>
    <w:p w14:paraId="383037E3" w14:textId="51F3A10F" w:rsidR="004C40D5" w:rsidRDefault="00DC0F51" w:rsidP="005339FF">
      <w:pPr>
        <w:pStyle w:val="ListParagraph"/>
        <w:numPr>
          <w:ilvl w:val="0"/>
          <w:numId w:val="1"/>
        </w:numPr>
        <w:jc w:val="both"/>
      </w:pPr>
      <w:r>
        <w:t>Remove</w:t>
      </w:r>
      <w:r w:rsidR="00D36660">
        <w:t xml:space="preserve"> incorrect GRAP standard indicated for intangible assets. GRAP 102 was </w:t>
      </w:r>
      <w:r w:rsidR="00F77858">
        <w:t>replaced with GRAP 31 (page 14).</w:t>
      </w:r>
    </w:p>
    <w:p w14:paraId="0A76A4D4" w14:textId="1214F096" w:rsidR="00F77858" w:rsidRDefault="00F77858" w:rsidP="005339FF">
      <w:pPr>
        <w:jc w:val="both"/>
      </w:pPr>
    </w:p>
    <w:p w14:paraId="485E60F7" w14:textId="54517771" w:rsidR="00BA45BF" w:rsidRPr="00557F84" w:rsidRDefault="00C3314F" w:rsidP="005339FF">
      <w:pPr>
        <w:jc w:val="both"/>
        <w:rPr>
          <w:u w:val="single"/>
        </w:rPr>
      </w:pPr>
      <w:r w:rsidRPr="00557F84">
        <w:rPr>
          <w:u w:val="single"/>
        </w:rPr>
        <w:t>Section 6 – Format of the Fixed Asset Register</w:t>
      </w:r>
    </w:p>
    <w:p w14:paraId="65D3E9AE" w14:textId="77777777" w:rsidR="009F0C69" w:rsidRDefault="009F0C69" w:rsidP="005339FF">
      <w:pPr>
        <w:jc w:val="both"/>
      </w:pPr>
      <w:r>
        <w:t>To be amended/ updated:</w:t>
      </w:r>
    </w:p>
    <w:p w14:paraId="545FFB7F" w14:textId="13DD41B9" w:rsidR="00C3314F" w:rsidRDefault="005F153D" w:rsidP="005339FF">
      <w:pPr>
        <w:pStyle w:val="ListParagraph"/>
        <w:numPr>
          <w:ilvl w:val="0"/>
          <w:numId w:val="2"/>
        </w:numPr>
        <w:jc w:val="both"/>
      </w:pPr>
      <w:r>
        <w:t>Under section 6.1 the asset</w:t>
      </w:r>
      <w:r w:rsidR="0012085D">
        <w:t xml:space="preserve"> hierarchy/ MSCOA hierarchy should be included (page 15).</w:t>
      </w:r>
    </w:p>
    <w:p w14:paraId="2A2EFF32" w14:textId="6C7A9B50" w:rsidR="009906CD" w:rsidRDefault="0029530A" w:rsidP="005339FF">
      <w:pPr>
        <w:pStyle w:val="ListParagraph"/>
        <w:numPr>
          <w:ilvl w:val="0"/>
          <w:numId w:val="2"/>
        </w:numPr>
        <w:jc w:val="both"/>
      </w:pPr>
      <w:r>
        <w:t>In paragraph 3 on page 16</w:t>
      </w:r>
      <w:r w:rsidR="003C2148">
        <w:t xml:space="preserve">, the estimated useful life adjustment in accordance with GRAP 3 should not only be applicable to </w:t>
      </w:r>
      <w:r w:rsidR="00D278C9">
        <w:t xml:space="preserve">material asset values but all assets where the Business Units </w:t>
      </w:r>
      <w:r w:rsidR="008E6306">
        <w:t>think a</w:t>
      </w:r>
      <w:r w:rsidR="00686780">
        <w:t xml:space="preserve"> change in life is necessary.</w:t>
      </w:r>
    </w:p>
    <w:p w14:paraId="36A5356A" w14:textId="216FEB43" w:rsidR="00F15C2D" w:rsidRDefault="00AA6A73" w:rsidP="005339FF">
      <w:pPr>
        <w:pStyle w:val="ListParagraph"/>
        <w:numPr>
          <w:ilvl w:val="0"/>
          <w:numId w:val="2"/>
        </w:numPr>
        <w:jc w:val="both"/>
      </w:pPr>
      <w:r>
        <w:t>Number E on page 17</w:t>
      </w:r>
      <w:r w:rsidR="008E2005">
        <w:t xml:space="preserve"> states that depreciation commence when the </w:t>
      </w:r>
      <w:r w:rsidR="00711D8C">
        <w:t xml:space="preserve">asset is commissioned into use. </w:t>
      </w:r>
      <w:r w:rsidR="007A486E">
        <w:t xml:space="preserve">According to GRAP 17 that is not how it is </w:t>
      </w:r>
      <w:r w:rsidR="00B76EF1">
        <w:t xml:space="preserve">indicated. </w:t>
      </w:r>
      <w:r w:rsidR="00B76EF1" w:rsidRPr="005339FF">
        <w:rPr>
          <w:i/>
          <w:iCs/>
        </w:rPr>
        <w:t xml:space="preserve">Depreciation </w:t>
      </w:r>
      <w:r w:rsidR="005339FF" w:rsidRPr="005339FF">
        <w:rPr>
          <w:i/>
          <w:iCs/>
        </w:rPr>
        <w:t>commences</w:t>
      </w:r>
      <w:r w:rsidR="00B76EF1" w:rsidRPr="005339FF">
        <w:rPr>
          <w:i/>
          <w:iCs/>
        </w:rPr>
        <w:t xml:space="preserve"> when the asset is available for use in the manner intended by management.</w:t>
      </w:r>
    </w:p>
    <w:p w14:paraId="74F7D55A" w14:textId="77777777" w:rsidR="00BE17B5" w:rsidRDefault="00BE17B5" w:rsidP="005339FF">
      <w:pPr>
        <w:jc w:val="both"/>
      </w:pPr>
    </w:p>
    <w:p w14:paraId="59C00FE1" w14:textId="2D56C607" w:rsidR="00557F84" w:rsidRDefault="00557F84" w:rsidP="005339FF">
      <w:pPr>
        <w:jc w:val="both"/>
      </w:pPr>
      <w:r>
        <w:t>Considerations:</w:t>
      </w:r>
    </w:p>
    <w:p w14:paraId="67451E6D" w14:textId="4C3A2374" w:rsidR="0012085D" w:rsidRDefault="00557F84" w:rsidP="005339FF">
      <w:pPr>
        <w:pStyle w:val="ListParagraph"/>
        <w:numPr>
          <w:ilvl w:val="0"/>
          <w:numId w:val="3"/>
        </w:numPr>
        <w:jc w:val="both"/>
      </w:pPr>
      <w:r>
        <w:t xml:space="preserve">Does the municipality </w:t>
      </w:r>
      <w:r w:rsidR="00900104">
        <w:t>construct their own assets? If so, how is borrowing cost treated</w:t>
      </w:r>
      <w:r w:rsidR="004D4414">
        <w:t xml:space="preserve">? </w:t>
      </w:r>
    </w:p>
    <w:p w14:paraId="6D6F08B5" w14:textId="3FA2875D" w:rsidR="00686780" w:rsidRDefault="00686780" w:rsidP="005339FF">
      <w:pPr>
        <w:pStyle w:val="ListParagraph"/>
        <w:numPr>
          <w:ilvl w:val="0"/>
          <w:numId w:val="3"/>
        </w:numPr>
        <w:jc w:val="both"/>
      </w:pPr>
      <w:r>
        <w:t xml:space="preserve">Does the municipality </w:t>
      </w:r>
      <w:r w:rsidR="0064357A">
        <w:t>own</w:t>
      </w:r>
      <w:r>
        <w:t xml:space="preserve"> staff- and social houses</w:t>
      </w:r>
      <w:r w:rsidR="005D6AD7">
        <w:t xml:space="preserve">? If so, housing should be a separate asset class under immovable </w:t>
      </w:r>
      <w:r w:rsidR="0064357A">
        <w:t>assets</w:t>
      </w:r>
      <w:r w:rsidR="00AA3C5A">
        <w:t xml:space="preserve"> (page 16)</w:t>
      </w:r>
      <w:r w:rsidR="0064357A">
        <w:t>.</w:t>
      </w:r>
    </w:p>
    <w:p w14:paraId="335C7608" w14:textId="7EBFF1A0" w:rsidR="0064357A" w:rsidRDefault="0064357A" w:rsidP="005339FF">
      <w:pPr>
        <w:pStyle w:val="ListParagraph"/>
        <w:numPr>
          <w:ilvl w:val="0"/>
          <w:numId w:val="3"/>
        </w:numPr>
        <w:jc w:val="both"/>
      </w:pPr>
      <w:r>
        <w:t>Does the municipality own ICT assets? If so, ICT should be a separate class of infrastructure</w:t>
      </w:r>
      <w:r w:rsidR="00AA3C5A">
        <w:t xml:space="preserve"> (page 16)</w:t>
      </w:r>
    </w:p>
    <w:p w14:paraId="6D7F156F" w14:textId="014CF7A2" w:rsidR="004E3AAC" w:rsidRDefault="004E3AAC" w:rsidP="005339FF">
      <w:pPr>
        <w:jc w:val="both"/>
      </w:pPr>
    </w:p>
    <w:p w14:paraId="00C4AEBD" w14:textId="62A26D8E" w:rsidR="00FB440E" w:rsidRPr="006D0269" w:rsidRDefault="00FB440E" w:rsidP="005339FF">
      <w:pPr>
        <w:jc w:val="both"/>
        <w:rPr>
          <w:u w:val="single"/>
        </w:rPr>
      </w:pPr>
      <w:r w:rsidRPr="006D0269">
        <w:rPr>
          <w:u w:val="single"/>
        </w:rPr>
        <w:t>Section 7 – Classification and Identification of Fixed Assets</w:t>
      </w:r>
    </w:p>
    <w:p w14:paraId="42F41D7C" w14:textId="4ECBE44C" w:rsidR="007D224F" w:rsidRDefault="007D224F" w:rsidP="007D224F">
      <w:pPr>
        <w:jc w:val="both"/>
      </w:pPr>
      <w:r>
        <w:t>To be amended/ updated:</w:t>
      </w:r>
    </w:p>
    <w:p w14:paraId="7F021677" w14:textId="7F07C5F2" w:rsidR="00CC3E86" w:rsidRDefault="00CC3E86" w:rsidP="00CC3E86">
      <w:pPr>
        <w:pStyle w:val="ListParagraph"/>
        <w:numPr>
          <w:ilvl w:val="0"/>
          <w:numId w:val="5"/>
        </w:numPr>
        <w:jc w:val="both"/>
      </w:pPr>
      <w:r>
        <w:t>Amend section 7.1 to include building</w:t>
      </w:r>
      <w:r w:rsidR="00DB0230">
        <w:t>s (</w:t>
      </w:r>
      <w:r w:rsidR="00B8228B">
        <w:t xml:space="preserve">administrative) </w:t>
      </w:r>
      <w:r w:rsidR="008662D3">
        <w:t>and other assets (page 18).</w:t>
      </w:r>
    </w:p>
    <w:p w14:paraId="6841E393" w14:textId="1FE5368F" w:rsidR="0014610D" w:rsidRDefault="00373CD4" w:rsidP="00CC3E86">
      <w:pPr>
        <w:pStyle w:val="ListParagraph"/>
        <w:numPr>
          <w:ilvl w:val="0"/>
          <w:numId w:val="5"/>
        </w:numPr>
        <w:jc w:val="both"/>
      </w:pPr>
      <w:r>
        <w:lastRenderedPageBreak/>
        <w:t>Under section 7.2 include missing PPE classes</w:t>
      </w:r>
      <w:r w:rsidR="0063181D">
        <w:t xml:space="preserve"> (</w:t>
      </w:r>
      <w:r w:rsidR="0063181D" w:rsidRPr="001F4412">
        <w:rPr>
          <w:i/>
          <w:iCs/>
        </w:rPr>
        <w:t>Infrastructure</w:t>
      </w:r>
      <w:r w:rsidR="00007592" w:rsidRPr="001F4412">
        <w:rPr>
          <w:i/>
          <w:iCs/>
        </w:rPr>
        <w:t xml:space="preserve"> and Community assets</w:t>
      </w:r>
      <w:r w:rsidR="00316E68" w:rsidRPr="001F4412">
        <w:rPr>
          <w:i/>
          <w:iCs/>
        </w:rPr>
        <w:t xml:space="preserve"> and Computer equipment</w:t>
      </w:r>
      <w:r w:rsidR="00316E68">
        <w:t xml:space="preserve">), and applicable also </w:t>
      </w:r>
      <w:r w:rsidR="00316E68" w:rsidRPr="001F4412">
        <w:rPr>
          <w:i/>
          <w:iCs/>
        </w:rPr>
        <w:t>Housing</w:t>
      </w:r>
      <w:r w:rsidR="001F4412">
        <w:t>.</w:t>
      </w:r>
    </w:p>
    <w:p w14:paraId="376ACF50" w14:textId="27F785ED" w:rsidR="00AF5488" w:rsidRDefault="00AF5488" w:rsidP="00CC3E86">
      <w:pPr>
        <w:pStyle w:val="ListParagraph"/>
        <w:numPr>
          <w:ilvl w:val="0"/>
          <w:numId w:val="5"/>
        </w:numPr>
        <w:jc w:val="both"/>
      </w:pPr>
      <w:r>
        <w:t>Under the section on Inventory assets</w:t>
      </w:r>
      <w:r w:rsidR="007157DB">
        <w:t xml:space="preserve">, paragraph 3, is incorrect. </w:t>
      </w:r>
      <w:r w:rsidR="007738E7">
        <w:t>The Housing Guideline should be implemented here. L</w:t>
      </w:r>
      <w:r w:rsidR="00477975">
        <w:t xml:space="preserve">and will not be classified as PPE until </w:t>
      </w:r>
      <w:r w:rsidR="0064494C">
        <w:t>the township development is completed and then moved to inventor</w:t>
      </w:r>
      <w:r w:rsidR="005F353D">
        <w:t>y (page 19).</w:t>
      </w:r>
    </w:p>
    <w:p w14:paraId="5DD9A558" w14:textId="2D449408" w:rsidR="0029720A" w:rsidRDefault="0029720A" w:rsidP="00CC3E86">
      <w:pPr>
        <w:pStyle w:val="ListParagraph"/>
        <w:numPr>
          <w:ilvl w:val="0"/>
          <w:numId w:val="5"/>
        </w:numPr>
        <w:jc w:val="both"/>
      </w:pPr>
      <w:r>
        <w:t>Section 7.2 refers to PPE, but section 7.3</w:t>
      </w:r>
      <w:r w:rsidR="000431ED">
        <w:t xml:space="preserve"> (Infrastructure) and </w:t>
      </w:r>
      <w:r w:rsidR="00A8340B">
        <w:t xml:space="preserve">section 7.4 (Community assets) are also PPE. To avoid confusion </w:t>
      </w:r>
      <w:r w:rsidR="00EB1585">
        <w:t>these sections should be consolidated (page 19 and 20).</w:t>
      </w:r>
    </w:p>
    <w:p w14:paraId="3AEFB9AB" w14:textId="509330AA" w:rsidR="00557733" w:rsidRDefault="008D20F7" w:rsidP="00CC3E86">
      <w:pPr>
        <w:pStyle w:val="ListParagraph"/>
        <w:numPr>
          <w:ilvl w:val="0"/>
          <w:numId w:val="5"/>
        </w:numPr>
        <w:jc w:val="both"/>
      </w:pPr>
      <w:r>
        <w:t xml:space="preserve">If the municipality own ICT assets, </w:t>
      </w:r>
      <w:r w:rsidR="00681033">
        <w:t>it should be indicated as an infrastructure class under section 7.3 (page 20).</w:t>
      </w:r>
    </w:p>
    <w:p w14:paraId="5B843350" w14:textId="77777777" w:rsidR="006D0269" w:rsidRDefault="00512767" w:rsidP="006D0269">
      <w:pPr>
        <w:pStyle w:val="ListParagraph"/>
        <w:numPr>
          <w:ilvl w:val="0"/>
          <w:numId w:val="5"/>
        </w:numPr>
        <w:jc w:val="both"/>
      </w:pPr>
      <w:r>
        <w:t xml:space="preserve">The last paragraph under section 7.6, page 21, is incorrect and should be </w:t>
      </w:r>
      <w:r w:rsidR="003D6618">
        <w:t>amended. I</w:t>
      </w:r>
      <w:r w:rsidR="00825435">
        <w:t xml:space="preserve">f a property is development for the purpose of being in investment property in the future; the </w:t>
      </w:r>
      <w:r w:rsidR="00B41120">
        <w:t>property will be classified as investment property from the start.</w:t>
      </w:r>
    </w:p>
    <w:p w14:paraId="39BECF49" w14:textId="4C545D18" w:rsidR="008E5162" w:rsidRDefault="003D6618" w:rsidP="006D0269">
      <w:pPr>
        <w:pStyle w:val="ListParagraph"/>
        <w:jc w:val="both"/>
      </w:pPr>
      <w:r>
        <w:t xml:space="preserve"> </w:t>
      </w:r>
    </w:p>
    <w:p w14:paraId="0C32C5F6" w14:textId="77777777" w:rsidR="007D224F" w:rsidRDefault="007D224F" w:rsidP="007D224F">
      <w:pPr>
        <w:jc w:val="both"/>
      </w:pPr>
      <w:r>
        <w:t>Considerations:</w:t>
      </w:r>
    </w:p>
    <w:p w14:paraId="0C51DCAC" w14:textId="3275928B" w:rsidR="00FB440E" w:rsidRDefault="001C50C5" w:rsidP="007D224F">
      <w:pPr>
        <w:pStyle w:val="ListParagraph"/>
        <w:numPr>
          <w:ilvl w:val="0"/>
          <w:numId w:val="4"/>
        </w:numPr>
        <w:jc w:val="both"/>
      </w:pPr>
      <w:r>
        <w:t xml:space="preserve">If </w:t>
      </w:r>
      <w:r w:rsidR="00505A30">
        <w:t xml:space="preserve">the municipality owns biological assets, there should be a separate asset class </w:t>
      </w:r>
      <w:r w:rsidR="004B129B">
        <w:t>for Agricultural assets</w:t>
      </w:r>
      <w:r w:rsidR="004F7F26">
        <w:t xml:space="preserve"> (Section 7.1)</w:t>
      </w:r>
      <w:r w:rsidR="004B129B">
        <w:t>.</w:t>
      </w:r>
    </w:p>
    <w:p w14:paraId="722CC1B8" w14:textId="75B0AA87" w:rsidR="00977CF2" w:rsidRDefault="00977CF2" w:rsidP="00977CF2">
      <w:pPr>
        <w:pStyle w:val="ListParagraph"/>
        <w:numPr>
          <w:ilvl w:val="0"/>
          <w:numId w:val="4"/>
        </w:numPr>
        <w:jc w:val="both"/>
      </w:pPr>
      <w:r>
        <w:t xml:space="preserve">If the municipality owns housing assets, there should be a separate </w:t>
      </w:r>
      <w:r w:rsidR="00DB0230">
        <w:t xml:space="preserve">Housing </w:t>
      </w:r>
      <w:r>
        <w:t>asset class (Section 7.1).</w:t>
      </w:r>
    </w:p>
    <w:p w14:paraId="568EADB0" w14:textId="62E58BC0" w:rsidR="004B129B" w:rsidRPr="00125AAB" w:rsidRDefault="006D0269" w:rsidP="006D0269">
      <w:pPr>
        <w:jc w:val="both"/>
        <w:rPr>
          <w:u w:val="single"/>
        </w:rPr>
      </w:pPr>
      <w:r w:rsidRPr="00125AAB">
        <w:rPr>
          <w:u w:val="single"/>
        </w:rPr>
        <w:t>Section 9 – Donated Assets</w:t>
      </w:r>
    </w:p>
    <w:p w14:paraId="30EE0569" w14:textId="77777777" w:rsidR="006D0269" w:rsidRDefault="006D0269" w:rsidP="006D0269">
      <w:pPr>
        <w:jc w:val="both"/>
      </w:pPr>
      <w:r>
        <w:t>To be amended/ updated:</w:t>
      </w:r>
    </w:p>
    <w:p w14:paraId="0ED04B0E" w14:textId="29F4DB3A" w:rsidR="006D0269" w:rsidRDefault="00365A7D" w:rsidP="006D0269">
      <w:pPr>
        <w:pStyle w:val="ListParagraph"/>
        <w:numPr>
          <w:ilvl w:val="0"/>
          <w:numId w:val="6"/>
        </w:numPr>
        <w:jc w:val="both"/>
      </w:pPr>
      <w:r>
        <w:t>In case of infrastructure assets</w:t>
      </w:r>
      <w:r w:rsidR="00B12F3F">
        <w:t>, where there are no market-based evidence because of the specialised nature of the item</w:t>
      </w:r>
      <w:r w:rsidR="0008562E">
        <w:t xml:space="preserve">, the municipality may need to estimate the fair value </w:t>
      </w:r>
      <w:r w:rsidR="002A0C68">
        <w:t>using the reproduction cost or the depreciated replacement cost.</w:t>
      </w:r>
    </w:p>
    <w:p w14:paraId="318B15CA" w14:textId="7CF2CE78" w:rsidR="00125AAB" w:rsidRPr="00B23AA8" w:rsidRDefault="00125AAB" w:rsidP="00125AAB">
      <w:pPr>
        <w:jc w:val="both"/>
        <w:rPr>
          <w:u w:val="single"/>
        </w:rPr>
      </w:pPr>
      <w:r w:rsidRPr="00B23AA8">
        <w:rPr>
          <w:u w:val="single"/>
        </w:rPr>
        <w:t>Section 11 – Capitalisation criteria</w:t>
      </w:r>
    </w:p>
    <w:p w14:paraId="4892C72E" w14:textId="77777777" w:rsidR="00CA4CC2" w:rsidRDefault="00CA4CC2" w:rsidP="00CA4CC2">
      <w:pPr>
        <w:jc w:val="both"/>
      </w:pPr>
      <w:r>
        <w:t>To be amended/ updated:</w:t>
      </w:r>
    </w:p>
    <w:p w14:paraId="05BF1B36" w14:textId="1B104182" w:rsidR="00CA4CC2" w:rsidRDefault="00CE152D" w:rsidP="00915B54">
      <w:pPr>
        <w:pStyle w:val="ListParagraph"/>
        <w:numPr>
          <w:ilvl w:val="0"/>
          <w:numId w:val="6"/>
        </w:numPr>
        <w:jc w:val="both"/>
      </w:pPr>
      <w:r>
        <w:t xml:space="preserve">Under 11.4 Intangible assets </w:t>
      </w:r>
      <w:r w:rsidR="00915B54">
        <w:t>GRAP 102 should be changed to GRAP 31 (page 28).</w:t>
      </w:r>
    </w:p>
    <w:p w14:paraId="7B5FF663" w14:textId="6C5EA3CF" w:rsidR="001A129B" w:rsidRDefault="001A129B" w:rsidP="001A129B">
      <w:pPr>
        <w:jc w:val="both"/>
      </w:pPr>
      <w:r>
        <w:t>Considerations:</w:t>
      </w:r>
    </w:p>
    <w:p w14:paraId="09E7D672" w14:textId="3275BEBF" w:rsidR="00B23AA8" w:rsidRDefault="001A129B" w:rsidP="001A129B">
      <w:pPr>
        <w:pStyle w:val="ListParagraph"/>
        <w:numPr>
          <w:ilvl w:val="0"/>
          <w:numId w:val="6"/>
        </w:numPr>
        <w:jc w:val="both"/>
      </w:pPr>
      <w:r>
        <w:t xml:space="preserve">If the municipality have biological assets, </w:t>
      </w:r>
      <w:r w:rsidR="009B07D6">
        <w:t>paragraph 2 under the section “Definition of an Asset</w:t>
      </w:r>
      <w:r w:rsidR="008D6014">
        <w:t>”</w:t>
      </w:r>
      <w:r w:rsidR="00032076">
        <w:t xml:space="preserve"> should include Agricultural Assets GRAP 27 (page 26).</w:t>
      </w:r>
    </w:p>
    <w:p w14:paraId="6A237BA0" w14:textId="612793B8" w:rsidR="00A47790" w:rsidRDefault="00A47790" w:rsidP="00A47790">
      <w:pPr>
        <w:jc w:val="both"/>
      </w:pPr>
    </w:p>
    <w:p w14:paraId="27325E55" w14:textId="7F3EFB0B" w:rsidR="00130D09" w:rsidRPr="005F1932" w:rsidRDefault="00130D09" w:rsidP="00130D09">
      <w:pPr>
        <w:jc w:val="both"/>
        <w:rPr>
          <w:u w:val="single"/>
        </w:rPr>
      </w:pPr>
      <w:r w:rsidRPr="005F1932">
        <w:rPr>
          <w:u w:val="single"/>
        </w:rPr>
        <w:t xml:space="preserve">Section </w:t>
      </w:r>
      <w:r>
        <w:rPr>
          <w:u w:val="single"/>
        </w:rPr>
        <w:t>12.2.2 – Maintenance/Refurbishment</w:t>
      </w:r>
    </w:p>
    <w:p w14:paraId="5259A770" w14:textId="3433BFB5" w:rsidR="00130D09" w:rsidRDefault="00130D09" w:rsidP="00130D09">
      <w:pPr>
        <w:jc w:val="both"/>
      </w:pPr>
      <w:r>
        <w:t>Verify definition of Refurbishment</w:t>
      </w:r>
      <w:r w:rsidR="00517E73">
        <w:t xml:space="preserve"> and Rehabilitation</w:t>
      </w:r>
      <w:r w:rsidR="00C94182">
        <w:t xml:space="preserve"> </w:t>
      </w:r>
      <w:r w:rsidR="00412603">
        <w:t>fro</w:t>
      </w:r>
      <w:r w:rsidR="00F97D2D">
        <w:t xml:space="preserve">m GRAP </w:t>
      </w:r>
      <w:r w:rsidR="00C94182">
        <w:t>and align/agree with Technical departments</w:t>
      </w:r>
      <w:r w:rsidR="00412603">
        <w:t xml:space="preserve"> on definition.</w:t>
      </w:r>
    </w:p>
    <w:p w14:paraId="41EBD496" w14:textId="48F06570" w:rsidR="006F36DF" w:rsidRDefault="006F36DF" w:rsidP="00130D09">
      <w:pPr>
        <w:jc w:val="both"/>
      </w:pPr>
      <w:r>
        <w:t>What about upgrades</w:t>
      </w:r>
      <w:r w:rsidR="00A83B74">
        <w:t>? What do you define them as in terms of financial treatment?</w:t>
      </w:r>
      <w:r w:rsidR="001463F3">
        <w:t xml:space="preserve"> Something to also iron out with Technical department</w:t>
      </w:r>
      <w:r w:rsidR="00643CC6">
        <w:t xml:space="preserve"> as well.</w:t>
      </w:r>
    </w:p>
    <w:p w14:paraId="5DCCEE39" w14:textId="547CFCE6" w:rsidR="00A47790" w:rsidRPr="00A47790" w:rsidRDefault="00A47790" w:rsidP="00A47790">
      <w:pPr>
        <w:jc w:val="both"/>
        <w:rPr>
          <w:u w:val="single"/>
        </w:rPr>
      </w:pPr>
      <w:r w:rsidRPr="00A47790">
        <w:rPr>
          <w:u w:val="single"/>
        </w:rPr>
        <w:t>Section 13 – Depreciation of Assets</w:t>
      </w:r>
    </w:p>
    <w:p w14:paraId="186D1192" w14:textId="77777777" w:rsidR="00A47790" w:rsidRDefault="00A47790" w:rsidP="00A47790">
      <w:pPr>
        <w:jc w:val="both"/>
      </w:pPr>
      <w:r>
        <w:t>To be amended/ updated:</w:t>
      </w:r>
    </w:p>
    <w:p w14:paraId="59FEE4A9" w14:textId="39702DB9" w:rsidR="00A47790" w:rsidRDefault="00492DEE" w:rsidP="00492DEE">
      <w:pPr>
        <w:pStyle w:val="ListParagraph"/>
        <w:numPr>
          <w:ilvl w:val="0"/>
          <w:numId w:val="6"/>
        </w:numPr>
        <w:jc w:val="both"/>
      </w:pPr>
      <w:r>
        <w:lastRenderedPageBreak/>
        <w:t xml:space="preserve">Under 13.4.1 </w:t>
      </w:r>
      <w:r w:rsidR="000E6E65">
        <w:t xml:space="preserve">Tangible assets, 3 paragraph, </w:t>
      </w:r>
      <w:r w:rsidR="00C37B6F">
        <w:t xml:space="preserve">should include that fact that depreciation will </w:t>
      </w:r>
      <w:r w:rsidR="001658D1">
        <w:t>cease when the asset is held for sale (page 32).</w:t>
      </w:r>
    </w:p>
    <w:p w14:paraId="67A322DA" w14:textId="64BA10F9" w:rsidR="005C0BAC" w:rsidRDefault="005C0BAC" w:rsidP="005C0BAC">
      <w:pPr>
        <w:pStyle w:val="ListParagraph"/>
        <w:numPr>
          <w:ilvl w:val="0"/>
          <w:numId w:val="6"/>
        </w:numPr>
        <w:jc w:val="both"/>
      </w:pPr>
      <w:r>
        <w:t xml:space="preserve">Under 13.4.1 Tangible assets, 3 paragraph, the accumulated depreciation </w:t>
      </w:r>
      <w:r w:rsidR="00D3565B">
        <w:t>account can never exceed the depreciable amount</w:t>
      </w:r>
      <w:r>
        <w:t xml:space="preserve"> (page 32).</w:t>
      </w:r>
    </w:p>
    <w:p w14:paraId="512A0529" w14:textId="2A9AC21C" w:rsidR="005169DC" w:rsidRDefault="005169DC" w:rsidP="005C0BAC">
      <w:pPr>
        <w:pStyle w:val="ListParagraph"/>
        <w:numPr>
          <w:ilvl w:val="0"/>
          <w:numId w:val="6"/>
        </w:numPr>
        <w:jc w:val="both"/>
      </w:pPr>
      <w:r>
        <w:t>Under 13.8.2 inclu</w:t>
      </w:r>
      <w:r w:rsidR="00CD5768">
        <w:t>de “accumulated” in front of depreciation (page 35).</w:t>
      </w:r>
    </w:p>
    <w:p w14:paraId="0E15868A" w14:textId="69EFCF9E" w:rsidR="008D56F8" w:rsidRDefault="008D56F8" w:rsidP="008D56F8">
      <w:pPr>
        <w:jc w:val="both"/>
      </w:pPr>
    </w:p>
    <w:p w14:paraId="2FFCDE9E" w14:textId="0C752A02" w:rsidR="008D56F8" w:rsidRPr="008D56F8" w:rsidRDefault="008D56F8" w:rsidP="008D56F8">
      <w:pPr>
        <w:jc w:val="both"/>
        <w:rPr>
          <w:u w:val="single"/>
        </w:rPr>
      </w:pPr>
      <w:r w:rsidRPr="008D56F8">
        <w:rPr>
          <w:u w:val="single"/>
        </w:rPr>
        <w:t>Section 14 – Revaluation of Fixed Assets</w:t>
      </w:r>
    </w:p>
    <w:p w14:paraId="690B8C3D" w14:textId="77777777" w:rsidR="008D56F8" w:rsidRDefault="008D56F8" w:rsidP="008D56F8">
      <w:pPr>
        <w:jc w:val="both"/>
      </w:pPr>
      <w:r>
        <w:t>To be amended/ updated:</w:t>
      </w:r>
    </w:p>
    <w:p w14:paraId="05D94F8B" w14:textId="0BB2EB7D" w:rsidR="008D56F8" w:rsidRDefault="008A18A8" w:rsidP="008D56F8">
      <w:pPr>
        <w:pStyle w:val="ListParagraph"/>
        <w:numPr>
          <w:ilvl w:val="0"/>
          <w:numId w:val="7"/>
        </w:numPr>
        <w:jc w:val="both"/>
      </w:pPr>
      <w:r>
        <w:t>Under 14.2 the revaluation amount</w:t>
      </w:r>
      <w:r w:rsidR="00601030">
        <w:t>/ fair value of an asset should reflect in the asset register as well as in the revaluation reserve (page 37).</w:t>
      </w:r>
    </w:p>
    <w:p w14:paraId="6A00E02B" w14:textId="5DBB0173" w:rsidR="00601030" w:rsidRDefault="00E044FF" w:rsidP="008D56F8">
      <w:pPr>
        <w:pStyle w:val="ListParagraph"/>
        <w:numPr>
          <w:ilvl w:val="0"/>
          <w:numId w:val="7"/>
        </w:numPr>
        <w:jc w:val="both"/>
      </w:pPr>
      <w:r>
        <w:t xml:space="preserve">Under 14.3 </w:t>
      </w:r>
      <w:r w:rsidR="00C74107">
        <w:t>reference should be made to the fair value of investment property and not Net Realisable Value (page 37).</w:t>
      </w:r>
    </w:p>
    <w:p w14:paraId="6A3385A5" w14:textId="6AA640E8" w:rsidR="005F6971" w:rsidRDefault="005F6971" w:rsidP="005F6971">
      <w:pPr>
        <w:jc w:val="both"/>
      </w:pPr>
    </w:p>
    <w:p w14:paraId="0714E8D7" w14:textId="2FF9A9BB" w:rsidR="005F6971" w:rsidRPr="00C8046B" w:rsidRDefault="005F6971" w:rsidP="005F6971">
      <w:pPr>
        <w:jc w:val="both"/>
        <w:rPr>
          <w:u w:val="single"/>
        </w:rPr>
      </w:pPr>
      <w:r w:rsidRPr="00C8046B">
        <w:rPr>
          <w:u w:val="single"/>
        </w:rPr>
        <w:t>Section 18 – Impairment Losses</w:t>
      </w:r>
    </w:p>
    <w:p w14:paraId="4B2458B1" w14:textId="77777777" w:rsidR="005F6971" w:rsidRDefault="005F6971" w:rsidP="005F6971">
      <w:pPr>
        <w:jc w:val="both"/>
      </w:pPr>
      <w:r>
        <w:t>Considerations:</w:t>
      </w:r>
    </w:p>
    <w:p w14:paraId="17F12501" w14:textId="7783325C" w:rsidR="005F6971" w:rsidRDefault="00076DD0" w:rsidP="005F6971">
      <w:pPr>
        <w:pStyle w:val="ListParagraph"/>
        <w:numPr>
          <w:ilvl w:val="0"/>
          <w:numId w:val="8"/>
        </w:numPr>
        <w:jc w:val="both"/>
      </w:pPr>
      <w:r>
        <w:t>T</w:t>
      </w:r>
      <w:r w:rsidR="00B901A0">
        <w:t xml:space="preserve">he recoverable amount be </w:t>
      </w:r>
      <w:r>
        <w:t>explained</w:t>
      </w:r>
      <w:r w:rsidR="00C8046B">
        <w:t xml:space="preserve"> (page 46)</w:t>
      </w:r>
      <w:r>
        <w:t>.</w:t>
      </w:r>
    </w:p>
    <w:p w14:paraId="49A1F6B8" w14:textId="0F4A1B78" w:rsidR="00B901A0" w:rsidRDefault="00076DD0" w:rsidP="005F6971">
      <w:pPr>
        <w:pStyle w:val="ListParagraph"/>
        <w:numPr>
          <w:ilvl w:val="0"/>
          <w:numId w:val="8"/>
        </w:numPr>
        <w:jc w:val="both"/>
      </w:pPr>
      <w:r>
        <w:t xml:space="preserve">How an impairment loss </w:t>
      </w:r>
      <w:r w:rsidR="00C61435">
        <w:t>is determined should be indicated in the policy</w:t>
      </w:r>
      <w:r w:rsidR="00822D5E">
        <w:t xml:space="preserve">. </w:t>
      </w:r>
      <w:r w:rsidR="00C8046B">
        <w:t>Or</w:t>
      </w:r>
      <w:r w:rsidR="00822D5E">
        <w:t xml:space="preserve"> will the detail be reserved for the </w:t>
      </w:r>
      <w:r w:rsidR="006D1FDE">
        <w:t>Financial</w:t>
      </w:r>
      <w:r w:rsidR="00822D5E">
        <w:t xml:space="preserve"> </w:t>
      </w:r>
      <w:r w:rsidR="00C8046B">
        <w:t>unit/ Asset Unit?</w:t>
      </w:r>
    </w:p>
    <w:p w14:paraId="290C9406" w14:textId="0A93E543" w:rsidR="009165C2" w:rsidRDefault="009165C2" w:rsidP="009165C2">
      <w:pPr>
        <w:jc w:val="both"/>
      </w:pPr>
    </w:p>
    <w:p w14:paraId="66CEFD5A" w14:textId="5F7A635A" w:rsidR="009165C2" w:rsidRPr="005F1932" w:rsidRDefault="009165C2" w:rsidP="009165C2">
      <w:pPr>
        <w:jc w:val="both"/>
        <w:rPr>
          <w:u w:val="single"/>
        </w:rPr>
      </w:pPr>
      <w:r w:rsidRPr="005F1932">
        <w:rPr>
          <w:u w:val="single"/>
        </w:rPr>
        <w:t>Section 19 – Investment Property</w:t>
      </w:r>
    </w:p>
    <w:p w14:paraId="58CEAAA9" w14:textId="77777777" w:rsidR="005F1932" w:rsidRDefault="005F1932" w:rsidP="005F1932">
      <w:pPr>
        <w:jc w:val="both"/>
      </w:pPr>
      <w:r>
        <w:t>To be amended/ updated:</w:t>
      </w:r>
    </w:p>
    <w:p w14:paraId="754255EC" w14:textId="36FB52D4" w:rsidR="009165C2" w:rsidRDefault="007333F6" w:rsidP="007333F6">
      <w:pPr>
        <w:pStyle w:val="ListParagraph"/>
        <w:numPr>
          <w:ilvl w:val="0"/>
          <w:numId w:val="9"/>
        </w:numPr>
        <w:jc w:val="both"/>
      </w:pPr>
      <w:r>
        <w:t xml:space="preserve">Add </w:t>
      </w:r>
      <w:r w:rsidR="00E14CD4">
        <w:t xml:space="preserve">another example of investment property (page 52). </w:t>
      </w:r>
      <w:r w:rsidR="00EC6576">
        <w:t xml:space="preserve">A property that is constructed or developed for future use as </w:t>
      </w:r>
      <w:r w:rsidR="00143F83">
        <w:t>investment property.</w:t>
      </w:r>
    </w:p>
    <w:p w14:paraId="62A55AC4" w14:textId="23BE45AC" w:rsidR="00143F83" w:rsidRDefault="00C86952" w:rsidP="007333F6">
      <w:pPr>
        <w:pStyle w:val="ListParagraph"/>
        <w:numPr>
          <w:ilvl w:val="0"/>
          <w:numId w:val="9"/>
        </w:numPr>
        <w:jc w:val="both"/>
      </w:pPr>
      <w:r>
        <w:t xml:space="preserve">Delete section (d) from examples </w:t>
      </w:r>
      <w:r w:rsidR="005D1B02">
        <w:t>of items that are NOT investment property (page 52).</w:t>
      </w:r>
    </w:p>
    <w:p w14:paraId="55839D77" w14:textId="7E22AC53" w:rsidR="00C56388" w:rsidRDefault="00B22C91" w:rsidP="007333F6">
      <w:pPr>
        <w:pStyle w:val="ListParagraph"/>
        <w:numPr>
          <w:ilvl w:val="0"/>
          <w:numId w:val="9"/>
        </w:numPr>
        <w:jc w:val="both"/>
      </w:pPr>
      <w:r>
        <w:t>Under 19.3 (d) remove “</w:t>
      </w:r>
      <w:r w:rsidRPr="005749B1">
        <w:rPr>
          <w:i/>
          <w:iCs/>
        </w:rPr>
        <w:t>accumulated depreciation</w:t>
      </w:r>
      <w:r>
        <w:t xml:space="preserve">”. </w:t>
      </w:r>
      <w:r w:rsidR="005749B1">
        <w:t>Shown twice. Typo error (page 54).</w:t>
      </w:r>
    </w:p>
    <w:p w14:paraId="1339D821" w14:textId="4C7764A9" w:rsidR="009670EA" w:rsidRDefault="009670EA" w:rsidP="007333F6">
      <w:pPr>
        <w:pStyle w:val="ListParagraph"/>
        <w:numPr>
          <w:ilvl w:val="0"/>
          <w:numId w:val="9"/>
        </w:numPr>
        <w:jc w:val="both"/>
      </w:pPr>
      <w:r>
        <w:t>Under 19.4.1 (a)</w:t>
      </w:r>
      <w:r w:rsidR="0006255F">
        <w:t xml:space="preserve"> remove paragraph (v)</w:t>
      </w:r>
      <w:r w:rsidR="00A15440">
        <w:t>, it is incorrect (page 54).</w:t>
      </w:r>
    </w:p>
    <w:p w14:paraId="1B5D7EC3" w14:textId="37BB096F" w:rsidR="00BF4DD3" w:rsidRDefault="00BF4DD3" w:rsidP="007333F6">
      <w:pPr>
        <w:pStyle w:val="ListParagraph"/>
        <w:numPr>
          <w:ilvl w:val="0"/>
          <w:numId w:val="9"/>
        </w:numPr>
        <w:jc w:val="both"/>
      </w:pPr>
      <w:r>
        <w:t>Under 19.</w:t>
      </w:r>
      <w:r w:rsidR="00DA1D37">
        <w:t>4.1 remove paragraph</w:t>
      </w:r>
      <w:r w:rsidR="00BF35E3">
        <w:t xml:space="preserve"> (e), it is incorrect (page 55).</w:t>
      </w:r>
    </w:p>
    <w:p w14:paraId="1D65CBA8" w14:textId="59E01AF8" w:rsidR="0002222C" w:rsidRDefault="0002222C" w:rsidP="0002222C">
      <w:pPr>
        <w:jc w:val="both"/>
      </w:pPr>
    </w:p>
    <w:p w14:paraId="1277AC56" w14:textId="4FACF332" w:rsidR="00435A2C" w:rsidRPr="005F1932" w:rsidRDefault="00435A2C" w:rsidP="00435A2C">
      <w:pPr>
        <w:jc w:val="both"/>
        <w:rPr>
          <w:u w:val="single"/>
        </w:rPr>
      </w:pPr>
      <w:r w:rsidRPr="005F1932">
        <w:rPr>
          <w:u w:val="single"/>
        </w:rPr>
        <w:t xml:space="preserve">Section </w:t>
      </w:r>
      <w:r>
        <w:rPr>
          <w:u w:val="single"/>
        </w:rPr>
        <w:t>2</w:t>
      </w:r>
      <w:r w:rsidR="008660CC">
        <w:rPr>
          <w:u w:val="single"/>
        </w:rPr>
        <w:t>2 – Maintenance of Assets</w:t>
      </w:r>
    </w:p>
    <w:p w14:paraId="05778D17" w14:textId="0BBFC54E" w:rsidR="0002222C" w:rsidRDefault="006E37E1" w:rsidP="0002222C">
      <w:pPr>
        <w:jc w:val="both"/>
      </w:pPr>
      <w:r>
        <w:t>Consider adding more detail to link financial with technical aspects of maintenance</w:t>
      </w:r>
      <w:r w:rsidR="00130D09">
        <w:t xml:space="preserve"> of assets</w:t>
      </w:r>
    </w:p>
    <w:p w14:paraId="1F96F291" w14:textId="43B457C1" w:rsidR="00FC4037" w:rsidRDefault="00FC4037" w:rsidP="00435A2C">
      <w:pPr>
        <w:jc w:val="both"/>
      </w:pPr>
    </w:p>
    <w:p w14:paraId="78975D6D" w14:textId="774788DF" w:rsidR="00DB03C6" w:rsidRDefault="00DB03C6" w:rsidP="00435A2C">
      <w:pPr>
        <w:jc w:val="both"/>
        <w:rPr>
          <w:u w:val="single"/>
        </w:rPr>
      </w:pPr>
      <w:r w:rsidRPr="00DB03C6">
        <w:rPr>
          <w:u w:val="single"/>
        </w:rPr>
        <w:t xml:space="preserve">Section 23 </w:t>
      </w:r>
      <w:r>
        <w:rPr>
          <w:u w:val="single"/>
        </w:rPr>
        <w:t>–</w:t>
      </w:r>
      <w:r w:rsidRPr="00DB03C6">
        <w:rPr>
          <w:u w:val="single"/>
        </w:rPr>
        <w:t xml:space="preserve"> </w:t>
      </w:r>
      <w:r>
        <w:rPr>
          <w:u w:val="single"/>
        </w:rPr>
        <w:t>Acquisitions</w:t>
      </w:r>
    </w:p>
    <w:p w14:paraId="7DF88B5F" w14:textId="4ECADD2A" w:rsidR="00DB03C6" w:rsidRPr="009B6AF8" w:rsidRDefault="00E50E53" w:rsidP="00435A2C">
      <w:pPr>
        <w:jc w:val="both"/>
      </w:pPr>
      <w:r w:rsidRPr="009B6AF8">
        <w:t>Consider using AMPs as a mechanism for long term planning and budgeting</w:t>
      </w:r>
      <w:r w:rsidR="009B6AF8">
        <w:t xml:space="preserve"> for </w:t>
      </w:r>
      <w:r w:rsidR="006E7B42">
        <w:t>CAPEX</w:t>
      </w:r>
      <w:r w:rsidR="003E0A85">
        <w:t xml:space="preserve"> expenditure</w:t>
      </w:r>
    </w:p>
    <w:p w14:paraId="78B8B5E9" w14:textId="77777777" w:rsidR="00130D09" w:rsidRPr="009B6AF8" w:rsidRDefault="00130D09" w:rsidP="00435A2C">
      <w:pPr>
        <w:jc w:val="both"/>
      </w:pPr>
    </w:p>
    <w:sectPr w:rsidR="00130D09" w:rsidRPr="009B6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80034"/>
    <w:multiLevelType w:val="hybridMultilevel"/>
    <w:tmpl w:val="F4526F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43590"/>
    <w:multiLevelType w:val="hybridMultilevel"/>
    <w:tmpl w:val="233C009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1637C"/>
    <w:multiLevelType w:val="hybridMultilevel"/>
    <w:tmpl w:val="993AF48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1E7"/>
    <w:multiLevelType w:val="hybridMultilevel"/>
    <w:tmpl w:val="EF622CC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0B85"/>
    <w:multiLevelType w:val="hybridMultilevel"/>
    <w:tmpl w:val="653ADD6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A5053"/>
    <w:multiLevelType w:val="hybridMultilevel"/>
    <w:tmpl w:val="A2DC65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9A47EB"/>
    <w:multiLevelType w:val="hybridMultilevel"/>
    <w:tmpl w:val="C52EE7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00C78"/>
    <w:multiLevelType w:val="hybridMultilevel"/>
    <w:tmpl w:val="2A3476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0E2CAE"/>
    <w:multiLevelType w:val="hybridMultilevel"/>
    <w:tmpl w:val="99A861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2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8E"/>
    <w:rsid w:val="00007592"/>
    <w:rsid w:val="0002222C"/>
    <w:rsid w:val="00032076"/>
    <w:rsid w:val="000343E0"/>
    <w:rsid w:val="000431ED"/>
    <w:rsid w:val="0006255F"/>
    <w:rsid w:val="00076DD0"/>
    <w:rsid w:val="00085587"/>
    <w:rsid w:val="0008562E"/>
    <w:rsid w:val="0009344D"/>
    <w:rsid w:val="000B472F"/>
    <w:rsid w:val="000E1D42"/>
    <w:rsid w:val="000E6E65"/>
    <w:rsid w:val="00100E9E"/>
    <w:rsid w:val="0012085D"/>
    <w:rsid w:val="00125AAB"/>
    <w:rsid w:val="00130D09"/>
    <w:rsid w:val="00140435"/>
    <w:rsid w:val="00143F83"/>
    <w:rsid w:val="0014610D"/>
    <w:rsid w:val="001463F3"/>
    <w:rsid w:val="001658D1"/>
    <w:rsid w:val="00182B8E"/>
    <w:rsid w:val="001A129B"/>
    <w:rsid w:val="001C421C"/>
    <w:rsid w:val="001C50C5"/>
    <w:rsid w:val="001D528C"/>
    <w:rsid w:val="001F4412"/>
    <w:rsid w:val="00263E67"/>
    <w:rsid w:val="002853AB"/>
    <w:rsid w:val="0029530A"/>
    <w:rsid w:val="0029720A"/>
    <w:rsid w:val="002A0C68"/>
    <w:rsid w:val="002C037B"/>
    <w:rsid w:val="002D32C0"/>
    <w:rsid w:val="002F3571"/>
    <w:rsid w:val="003056FD"/>
    <w:rsid w:val="00316E68"/>
    <w:rsid w:val="00320B9A"/>
    <w:rsid w:val="00326D96"/>
    <w:rsid w:val="00330DEF"/>
    <w:rsid w:val="00365A7D"/>
    <w:rsid w:val="00373CD4"/>
    <w:rsid w:val="003C2148"/>
    <w:rsid w:val="003D6618"/>
    <w:rsid w:val="003E0A85"/>
    <w:rsid w:val="003F7BD9"/>
    <w:rsid w:val="00412603"/>
    <w:rsid w:val="00435A2C"/>
    <w:rsid w:val="00437D20"/>
    <w:rsid w:val="0044615E"/>
    <w:rsid w:val="00452B77"/>
    <w:rsid w:val="00477975"/>
    <w:rsid w:val="00492DEE"/>
    <w:rsid w:val="004B129B"/>
    <w:rsid w:val="004B748B"/>
    <w:rsid w:val="004C40D5"/>
    <w:rsid w:val="004D4414"/>
    <w:rsid w:val="004E1584"/>
    <w:rsid w:val="004E3AAC"/>
    <w:rsid w:val="004F7F26"/>
    <w:rsid w:val="00505A30"/>
    <w:rsid w:val="00512767"/>
    <w:rsid w:val="005169DC"/>
    <w:rsid w:val="00517E73"/>
    <w:rsid w:val="005207D5"/>
    <w:rsid w:val="0053273B"/>
    <w:rsid w:val="005339FF"/>
    <w:rsid w:val="00550403"/>
    <w:rsid w:val="00557733"/>
    <w:rsid w:val="00557F84"/>
    <w:rsid w:val="00560105"/>
    <w:rsid w:val="00565C27"/>
    <w:rsid w:val="005749B1"/>
    <w:rsid w:val="00595D99"/>
    <w:rsid w:val="005A7006"/>
    <w:rsid w:val="005B1928"/>
    <w:rsid w:val="005C0BAC"/>
    <w:rsid w:val="005D1B02"/>
    <w:rsid w:val="005D47B7"/>
    <w:rsid w:val="005D6AD7"/>
    <w:rsid w:val="005F153D"/>
    <w:rsid w:val="005F1932"/>
    <w:rsid w:val="005F353D"/>
    <w:rsid w:val="005F6971"/>
    <w:rsid w:val="00601030"/>
    <w:rsid w:val="0062278F"/>
    <w:rsid w:val="00631658"/>
    <w:rsid w:val="0063181D"/>
    <w:rsid w:val="0064357A"/>
    <w:rsid w:val="00643CC6"/>
    <w:rsid w:val="0064494C"/>
    <w:rsid w:val="00661DC4"/>
    <w:rsid w:val="00681033"/>
    <w:rsid w:val="00686780"/>
    <w:rsid w:val="006B04D2"/>
    <w:rsid w:val="006B53D3"/>
    <w:rsid w:val="006D0269"/>
    <w:rsid w:val="006D1FDE"/>
    <w:rsid w:val="006E37E1"/>
    <w:rsid w:val="006E7B42"/>
    <w:rsid w:val="006F36DF"/>
    <w:rsid w:val="00711D8C"/>
    <w:rsid w:val="007157DB"/>
    <w:rsid w:val="007333F6"/>
    <w:rsid w:val="0076700C"/>
    <w:rsid w:val="007738E7"/>
    <w:rsid w:val="0078206E"/>
    <w:rsid w:val="007A486E"/>
    <w:rsid w:val="007D224F"/>
    <w:rsid w:val="007F43F1"/>
    <w:rsid w:val="008112FD"/>
    <w:rsid w:val="00822D5E"/>
    <w:rsid w:val="00825435"/>
    <w:rsid w:val="008660CC"/>
    <w:rsid w:val="008662D3"/>
    <w:rsid w:val="00876009"/>
    <w:rsid w:val="008A18A8"/>
    <w:rsid w:val="008B6816"/>
    <w:rsid w:val="008D20F7"/>
    <w:rsid w:val="008D56F8"/>
    <w:rsid w:val="008D6014"/>
    <w:rsid w:val="008E2005"/>
    <w:rsid w:val="008E5162"/>
    <w:rsid w:val="008E6306"/>
    <w:rsid w:val="008F5FD0"/>
    <w:rsid w:val="008F6283"/>
    <w:rsid w:val="00900104"/>
    <w:rsid w:val="0091297F"/>
    <w:rsid w:val="00915B54"/>
    <w:rsid w:val="009165C2"/>
    <w:rsid w:val="0092101A"/>
    <w:rsid w:val="0094467A"/>
    <w:rsid w:val="009670EA"/>
    <w:rsid w:val="00977CF2"/>
    <w:rsid w:val="00985ED0"/>
    <w:rsid w:val="009906CD"/>
    <w:rsid w:val="009B07D6"/>
    <w:rsid w:val="009B6AF8"/>
    <w:rsid w:val="009C298D"/>
    <w:rsid w:val="009D351D"/>
    <w:rsid w:val="009F0C69"/>
    <w:rsid w:val="009F1BFA"/>
    <w:rsid w:val="00A15440"/>
    <w:rsid w:val="00A250BD"/>
    <w:rsid w:val="00A47790"/>
    <w:rsid w:val="00A530F6"/>
    <w:rsid w:val="00A574C5"/>
    <w:rsid w:val="00A76C7D"/>
    <w:rsid w:val="00A8340B"/>
    <w:rsid w:val="00A83B74"/>
    <w:rsid w:val="00A928E4"/>
    <w:rsid w:val="00AA3C5A"/>
    <w:rsid w:val="00AA6A73"/>
    <w:rsid w:val="00AC674A"/>
    <w:rsid w:val="00AF5488"/>
    <w:rsid w:val="00B12F3F"/>
    <w:rsid w:val="00B22C91"/>
    <w:rsid w:val="00B23AA8"/>
    <w:rsid w:val="00B24BA5"/>
    <w:rsid w:val="00B41120"/>
    <w:rsid w:val="00B442B8"/>
    <w:rsid w:val="00B76EF1"/>
    <w:rsid w:val="00B8228B"/>
    <w:rsid w:val="00B863BA"/>
    <w:rsid w:val="00B87B13"/>
    <w:rsid w:val="00B901A0"/>
    <w:rsid w:val="00BA45BF"/>
    <w:rsid w:val="00BE17B5"/>
    <w:rsid w:val="00BF1415"/>
    <w:rsid w:val="00BF35E3"/>
    <w:rsid w:val="00BF4DD3"/>
    <w:rsid w:val="00C1188B"/>
    <w:rsid w:val="00C3314F"/>
    <w:rsid w:val="00C37B6F"/>
    <w:rsid w:val="00C56388"/>
    <w:rsid w:val="00C61435"/>
    <w:rsid w:val="00C74107"/>
    <w:rsid w:val="00C750C4"/>
    <w:rsid w:val="00C8046B"/>
    <w:rsid w:val="00C86952"/>
    <w:rsid w:val="00C94182"/>
    <w:rsid w:val="00CA4CC2"/>
    <w:rsid w:val="00CB5E15"/>
    <w:rsid w:val="00CC3E86"/>
    <w:rsid w:val="00CD2F9F"/>
    <w:rsid w:val="00CD5768"/>
    <w:rsid w:val="00CE152D"/>
    <w:rsid w:val="00CE21F3"/>
    <w:rsid w:val="00D24EA8"/>
    <w:rsid w:val="00D278C9"/>
    <w:rsid w:val="00D3565B"/>
    <w:rsid w:val="00D36660"/>
    <w:rsid w:val="00D4086F"/>
    <w:rsid w:val="00D65BEB"/>
    <w:rsid w:val="00D8696D"/>
    <w:rsid w:val="00DA1D37"/>
    <w:rsid w:val="00DB0230"/>
    <w:rsid w:val="00DB03C6"/>
    <w:rsid w:val="00DC0F51"/>
    <w:rsid w:val="00E044FF"/>
    <w:rsid w:val="00E14CD4"/>
    <w:rsid w:val="00E50E53"/>
    <w:rsid w:val="00E83557"/>
    <w:rsid w:val="00E95E44"/>
    <w:rsid w:val="00E97868"/>
    <w:rsid w:val="00EB1585"/>
    <w:rsid w:val="00EC2485"/>
    <w:rsid w:val="00EC6576"/>
    <w:rsid w:val="00EF31F3"/>
    <w:rsid w:val="00F15C2D"/>
    <w:rsid w:val="00F77858"/>
    <w:rsid w:val="00F97D2D"/>
    <w:rsid w:val="00FA249C"/>
    <w:rsid w:val="00FB440E"/>
    <w:rsid w:val="00FC4037"/>
    <w:rsid w:val="00FE19AC"/>
    <w:rsid w:val="00FE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987638"/>
  <w15:chartTrackingRefBased/>
  <w15:docId w15:val="{DE8D747A-63C3-431E-91D2-23F0BE7B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Bernedette Van Zyl</dc:creator>
  <cp:keywords/>
  <dc:description/>
  <cp:lastModifiedBy>Sbonelo S. Mwelase</cp:lastModifiedBy>
  <cp:revision>2</cp:revision>
  <dcterms:created xsi:type="dcterms:W3CDTF">2022-03-25T14:11:00Z</dcterms:created>
  <dcterms:modified xsi:type="dcterms:W3CDTF">2022-03-25T14:11:00Z</dcterms:modified>
</cp:coreProperties>
</file>